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Синтезис 2025: наука и индустрия формируют нефтегазохимию будущего</w:t>
      </w:r>
    </w:p>
    <w:p w:rsidR="00000000" w:rsidDel="00000000" w:rsidP="00000000" w:rsidRDefault="00000000" w:rsidRPr="00000000" w14:paraId="00000002">
      <w:pPr>
        <w:spacing w:after="0" w:line="276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В Нижнем Новгороде, где расположены крупные предприятия нефтяной промышленности страны, готовится проведение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color w:val="1155cc"/>
            <w:sz w:val="28"/>
            <w:szCs w:val="28"/>
            <w:u w:val="single"/>
            <w:rtl w:val="0"/>
          </w:rPr>
          <w:t xml:space="preserve">Конгресса по нефтепереработке и нефтехимии: Синтезис 2025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. Мероприятие пройдет 29-30 сентября, на котором  будут продемонстрированы успешные модели взаимодействия между НИИ и заводами, а также инновационные технологии и разработки ведущих отечественных нефтяных компаний.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Деловая программа Синтезиса 2025 охватит широкий спектр тем: вопросы экологических аспектов производства, реализация ESG-стратегий и снижение углеродного следа. Кроме того, делегаты обсудят текущие проекты по строительству и модернизации производственных мощностей, а также перспективные направления разработок НИОКР. Особое внимание будет уделено на цифровую трансформацию отрасли, повышающую эффективность предприятий. </w:t>
      </w:r>
    </w:p>
    <w:p w:rsidR="00000000" w:rsidDel="00000000" w:rsidP="00000000" w:rsidRDefault="00000000" w:rsidRPr="00000000" w14:paraId="00000005">
      <w:pPr>
        <w:spacing w:after="0" w:line="276" w:lineRule="auto"/>
        <w:ind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Конгресс соберет представителей ведущих ВИНК, НПЗ, НХК, компаний-производителей оборудования и лицензиаров: ПАО “Газпром Нефть”, ОАО “Нафтан”, НИС а.д. Нови Сад, ООО “ЛУКОЙЛ-Пермнефтеоргсинтез”, АО “СИБУР - Химпром”, ООО “НОВАТЭК - Усть-Луга”, АО “ВНИИнефть” и другие. </w:t>
      </w:r>
    </w:p>
    <w:p w:rsidR="00000000" w:rsidDel="00000000" w:rsidP="00000000" w:rsidRDefault="00000000" w:rsidRPr="00000000" w14:paraId="00000006">
      <w:pPr>
        <w:spacing w:after="0" w:line="276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Более того, ООО “СИБУР” выступит в качестве генерального партнера Синтезиса 2025. Компания занимает лидирующие позиции на отечественном рынке и активно развивает технологическую независимость, разрабатывая собственные катализаторы и компоненты для производства синтетических каучуков и пластиков. 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Синтезис 2025 объединит научные и промышленные сообщества, создавая среду для укрепления их взаимодействия. В рамках деловой программы Конгресса спикеры из исследовательской и индустриальной среды обсудят расширение научно-технологической инфраструктуры, взаимодействие НИИ и предприятий, а также рассмотрят проекты модернизации и создания промышленных объектов.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Так, в первый день во время круглого стола Тимофей Карпенко, заместитель генерального директора по новым проектам ООО «НПП Нефтехим», расскажет о разработке катализаторов для нефтепереработки как ключевом элементе технологической независимости индустрии. К дискуссии присоединятся спикеры из АО «РНЦ «Прикладная химия (ГИПХ)», Консорциума Аналитическое приборостроение и других организаций. 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Во второй день Синтезиса 2025 на сессии, посвященной последним проектам модернизации и строительства НПЗ и НХК, Кирилл Васильев, генеральный директор ООО "Северный Ренессанс", представит доклад о передовых изоляционных материалах и их использовании в процессе возведения нефтеперерабатывающих предприятий и нефтехимических объектов. Со своими  проектами также выступят  эксперты из Бюро ESG, ООО «ИЭС» и другие. 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Для потенциальных участников Синтезиса существуют разнообразные форматы, позволяющие максимально эффективно достичь деловых целей: делегат, экспонент, докладчик, спонсор и медиапартнер.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Независимо от выбранного формата, каждый присутствующий на  Конгрессе по нефтепереработке и нефтехимии: Синтезис 2025 станет частью стратегического диалога, формирующего будущее российской нефтегазохимии в Нижнем Новгороде. 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Подробная информация на сайте: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https://sh.sbproect.ru/yt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0" w:line="276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tezis.ru//?utm_source=media&amp;utm_medium=safety_ru&amp;utm_campaign=august25&amp;utm_content=press_baina" TargetMode="External"/><Relationship Id="rId7" Type="http://schemas.openxmlformats.org/officeDocument/2006/relationships/hyperlink" Target="https://sh.sbproect.ru/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