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69" w:rsidRDefault="00F11AF1">
      <w:pPr>
        <w:spacing w:line="276" w:lineRule="auto"/>
        <w:ind w:left="-142"/>
        <w:jc w:val="right"/>
        <w:rPr>
          <w:rFonts w:ascii="Segoe UI" w:eastAsia="Adobe Heiti Std R" w:hAnsi="Segoe UI" w:cs="Segoe UI"/>
          <w:b/>
          <w:bCs/>
          <w:sz w:val="32"/>
          <w:szCs w:val="3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317500</wp:posOffset>
            </wp:positionH>
            <wp:positionV relativeFrom="paragraph">
              <wp:posOffset>-240665</wp:posOffset>
            </wp:positionV>
            <wp:extent cx="666115" cy="78359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" w:eastAsia="Adobe Heiti Std R" w:hAnsi="Segoe UI" w:cs="Segoe UI"/>
          <w:b/>
          <w:bCs/>
          <w:sz w:val="32"/>
          <w:szCs w:val="32"/>
          <w:lang w:val="ru-RU"/>
        </w:rPr>
        <w:t>Российский нефтегазовый технический конгресс</w:t>
      </w:r>
    </w:p>
    <w:p w:rsidR="00577169" w:rsidRDefault="00F11AF1">
      <w:pPr>
        <w:pStyle w:val="aa"/>
        <w:tabs>
          <w:tab w:val="clear" w:pos="4844"/>
          <w:tab w:val="clear" w:pos="9689"/>
        </w:tabs>
        <w:spacing w:line="276" w:lineRule="auto"/>
        <w:jc w:val="right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Тел: +7 (495) 488-6749, </w:t>
      </w:r>
      <w:hyperlink r:id="rId9">
        <w:r>
          <w:rPr>
            <w:rFonts w:ascii="Segoe UI" w:hAnsi="Segoe UI" w:cs="Segoe UI"/>
          </w:rPr>
          <w:t>info</w:t>
        </w:r>
        <w:r>
          <w:rPr>
            <w:rFonts w:ascii="Segoe UI" w:hAnsi="Segoe UI" w:cs="Segoe UI"/>
            <w:lang w:val="ru-RU"/>
          </w:rPr>
          <w:t>@</w:t>
        </w:r>
        <w:r>
          <w:rPr>
            <w:rFonts w:ascii="Segoe UI" w:hAnsi="Segoe UI" w:cs="Segoe UI"/>
          </w:rPr>
          <w:t>rntk</w:t>
        </w:r>
        <w:r>
          <w:rPr>
            <w:rFonts w:ascii="Segoe UI" w:hAnsi="Segoe UI" w:cs="Segoe UI"/>
            <w:lang w:val="ru-RU"/>
          </w:rPr>
          <w:t>.</w:t>
        </w:r>
        <w:r>
          <w:rPr>
            <w:rFonts w:ascii="Segoe UI" w:hAnsi="Segoe UI" w:cs="Segoe UI"/>
          </w:rPr>
          <w:t>org</w:t>
        </w:r>
      </w:hyperlink>
      <w:r>
        <w:rPr>
          <w:rFonts w:ascii="Segoe UI" w:hAnsi="Segoe UI" w:cs="Segoe UI"/>
          <w:lang w:val="ru-RU"/>
        </w:rPr>
        <w:t xml:space="preserve">, </w:t>
      </w:r>
      <w:hyperlink r:id="rId10">
        <w:r>
          <w:rPr>
            <w:rFonts w:ascii="Segoe UI" w:hAnsi="Segoe UI" w:cs="Segoe UI"/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www</w:t>
        </w:r>
        <w:r>
          <w:rPr>
            <w:rFonts w:ascii="Segoe UI" w:hAnsi="Segoe UI" w:cs="Segoe UI"/>
            <w:color w:val="0000FF"/>
            <w:lang w:val="ru-RU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.</w:t>
        </w:r>
        <w:r>
          <w:rPr>
            <w:rFonts w:ascii="Segoe UI" w:hAnsi="Segoe UI" w:cs="Segoe UI"/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rntk</w:t>
        </w:r>
        <w:r>
          <w:rPr>
            <w:rFonts w:ascii="Segoe UI" w:hAnsi="Segoe UI" w:cs="Segoe UI"/>
            <w:color w:val="0000FF"/>
            <w:lang w:val="ru-RU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.</w:t>
        </w:r>
        <w:r>
          <w:rPr>
            <w:rFonts w:ascii="Segoe UI" w:hAnsi="Segoe UI" w:cs="Segoe UI"/>
            <w:color w:val="0000FF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org</w:t>
        </w:r>
      </w:hyperlink>
    </w:p>
    <w:p w:rsidR="00577169" w:rsidRDefault="00F11AF1">
      <w:pPr>
        <w:pStyle w:val="aa"/>
        <w:tabs>
          <w:tab w:val="clear" w:pos="4844"/>
          <w:tab w:val="clear" w:pos="9689"/>
        </w:tabs>
        <w:spacing w:line="276" w:lineRule="auto"/>
        <w:ind w:left="720" w:firstLine="720"/>
        <w:jc w:val="right"/>
        <w:rPr>
          <w:rFonts w:ascii="Arial Narrow" w:hAnsi="Arial Narrow"/>
          <w:lang w:val="ru-RU"/>
        </w:rPr>
      </w:pPr>
      <w:r>
        <w:rPr>
          <w:rFonts w:ascii="Arial Narrow" w:hAnsi="Arial Narrow"/>
          <w:noProof/>
          <w:lang w:val="ru-RU" w:eastAsia="ru-RU"/>
        </w:rPr>
        <mc:AlternateContent>
          <mc:Choice Requires="wpg">
            <w:drawing>
              <wp:anchor distT="19050" distB="19050" distL="19050" distR="19050" simplePos="0" relativeHeight="2" behindDoc="0" locked="0" layoutInCell="0" allowOverlap="1" wp14:anchorId="080ADACD">
                <wp:simplePos x="0" y="0"/>
                <wp:positionH relativeFrom="column">
                  <wp:posOffset>229235</wp:posOffset>
                </wp:positionH>
                <wp:positionV relativeFrom="paragraph">
                  <wp:posOffset>67945</wp:posOffset>
                </wp:positionV>
                <wp:extent cx="6003925" cy="4445"/>
                <wp:effectExtent l="0" t="19050" r="31750" b="0"/>
                <wp:wrapNone/>
                <wp:docPr id="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360" cy="3960"/>
                          <a:chOff x="229320" y="65880"/>
                          <a:chExt cx="6003360" cy="396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0"/>
                            <a:ext cx="3115440" cy="18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3109680" y="3240"/>
                            <a:ext cx="2893680" cy="72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548D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18.05pt;margin-top:5.2pt;width:472.65pt;height:0.25pt" coordorigin="361,104" coordsize="9453,5">
                <v:line id="shape_0" from="361,104" to="5266,106" ID="Straight Connector 3" stroked="t" o:allowincell="f" style="position:absolute">
                  <v:stroke color="#548dd4" weight="38160" joinstyle="round" endcap="flat"/>
                  <v:fill o:detectmouseclick="t" on="false"/>
                  <w10:wrap type="none"/>
                </v:line>
                <v:line id="shape_0" from="5258,109" to="9814,109" ID="Straight Connector 4" stroked="t" o:allowincell="f" style="position:absolute">
                  <v:stroke color="#548dd4" weight="3816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382AFD" w:rsidRDefault="00382AFD" w:rsidP="00382AFD">
      <w:pPr>
        <w:spacing w:after="120" w:line="276" w:lineRule="auto"/>
        <w:jc w:val="center"/>
        <w:rPr>
          <w:b/>
          <w:color w:val="000000"/>
          <w:sz w:val="26"/>
          <w:szCs w:val="26"/>
          <w:lang w:val="ru-RU"/>
        </w:rPr>
      </w:pPr>
    </w:p>
    <w:p w:rsidR="00577169" w:rsidRPr="00F11AF1" w:rsidRDefault="00382AFD" w:rsidP="00382AFD">
      <w:pPr>
        <w:spacing w:after="120" w:line="276" w:lineRule="auto"/>
        <w:jc w:val="center"/>
        <w:rPr>
          <w:b/>
          <w:color w:val="000000"/>
          <w:sz w:val="26"/>
          <w:szCs w:val="26"/>
          <w:lang w:val="ru-RU"/>
        </w:rPr>
      </w:pPr>
      <w:r w:rsidRPr="00F11AF1">
        <w:rPr>
          <w:b/>
          <w:color w:val="000000"/>
          <w:sz w:val="26"/>
          <w:szCs w:val="26"/>
          <w:lang w:val="ru-RU"/>
        </w:rPr>
        <w:t>Срочная новость</w:t>
      </w:r>
    </w:p>
    <w:p w:rsidR="00382AFD" w:rsidRPr="00F11AF1" w:rsidRDefault="00382AFD" w:rsidP="00382AFD">
      <w:pPr>
        <w:spacing w:after="120"/>
        <w:jc w:val="center"/>
        <w:rPr>
          <w:b/>
          <w:bCs/>
          <w:color w:val="000000"/>
          <w:sz w:val="26"/>
          <w:szCs w:val="26"/>
          <w:lang w:val="ru-RU"/>
        </w:rPr>
      </w:pPr>
      <w:r w:rsidRPr="00F11AF1">
        <w:rPr>
          <w:b/>
          <w:bCs/>
          <w:color w:val="000000"/>
          <w:sz w:val="26"/>
          <w:szCs w:val="26"/>
          <w:lang w:val="ru-RU"/>
        </w:rPr>
        <w:t>Более 300 участников, 160 докладов, экскурсия, новые возможности                            на нефтегазовом Конгрессе РНТК 2022</w:t>
      </w:r>
    </w:p>
    <w:p w:rsidR="00382AFD" w:rsidRPr="00F11AF1" w:rsidRDefault="00382AFD" w:rsidP="00382AFD">
      <w:pPr>
        <w:spacing w:after="120"/>
        <w:jc w:val="both"/>
        <w:rPr>
          <w:b/>
          <w:bCs/>
          <w:color w:val="000000"/>
          <w:sz w:val="26"/>
          <w:szCs w:val="26"/>
          <w:lang w:val="ru-RU"/>
        </w:rPr>
      </w:pP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На следующей неделе состоится "Российский нефтегазовый технический конгресс". Мероприятие пройдет 11-13 октября 2022 года в Москве, в отеле </w:t>
      </w:r>
      <w:proofErr w:type="spellStart"/>
      <w:r w:rsidRPr="00F11AF1">
        <w:rPr>
          <w:color w:val="000000"/>
          <w:sz w:val="26"/>
          <w:szCs w:val="26"/>
          <w:lang w:val="ru-RU"/>
        </w:rPr>
        <w:t>Холидей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 Инн Сокольники. </w:t>
      </w: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Программа сформирована. Запланированы пленарная сессия, 22 технических сессии, круглые столы. На Конгрессе будет представлено более 160 докладов по темам: 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Цифровые технологии - 30 докладов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</w:t>
      </w:r>
      <w:proofErr w:type="spellStart"/>
      <w:r w:rsidRPr="00F11AF1">
        <w:rPr>
          <w:color w:val="000000"/>
          <w:sz w:val="26"/>
          <w:szCs w:val="26"/>
          <w:lang w:val="ru-RU"/>
        </w:rPr>
        <w:t>Гидроразрыв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 пласта и МУН - 27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Строительство скважин, бурение и </w:t>
      </w:r>
      <w:proofErr w:type="spellStart"/>
      <w:r w:rsidRPr="00F11AF1">
        <w:rPr>
          <w:color w:val="000000"/>
          <w:sz w:val="26"/>
          <w:szCs w:val="26"/>
          <w:lang w:val="ru-RU"/>
        </w:rPr>
        <w:t>заканчивание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 скважин - 20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Геологическое, гидродинамическое и интегрированное моделирование - 15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</w:t>
      </w:r>
      <w:proofErr w:type="spellStart"/>
      <w:r w:rsidRPr="00F11AF1">
        <w:rPr>
          <w:color w:val="000000"/>
          <w:sz w:val="26"/>
          <w:szCs w:val="26"/>
          <w:lang w:val="ru-RU"/>
        </w:rPr>
        <w:t>Трудноизвлекаемые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 запасы - 15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Геология и геофизика месторождения и </w:t>
      </w:r>
      <w:proofErr w:type="gramStart"/>
      <w:r w:rsidRPr="00F11AF1">
        <w:rPr>
          <w:color w:val="000000"/>
          <w:sz w:val="26"/>
          <w:szCs w:val="26"/>
          <w:lang w:val="ru-RU"/>
        </w:rPr>
        <w:t>исследование</w:t>
      </w:r>
      <w:proofErr w:type="gramEnd"/>
      <w:r w:rsidRPr="00F11AF1">
        <w:rPr>
          <w:color w:val="000000"/>
          <w:sz w:val="26"/>
          <w:szCs w:val="26"/>
          <w:lang w:val="ru-RU"/>
        </w:rPr>
        <w:t xml:space="preserve"> и испытание скважин - 15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Разработка нефтяных месторождений и газовых месторождений - 14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Промышленная безопасность, охрана труда и окружающей среды - 10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Промысловый сбор и подготовка продукции и техника и технологии добычи - 10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Промысловая геофизика и </w:t>
      </w:r>
      <w:proofErr w:type="spellStart"/>
      <w:r w:rsidRPr="00F11AF1">
        <w:rPr>
          <w:color w:val="000000"/>
          <w:sz w:val="26"/>
          <w:szCs w:val="26"/>
          <w:lang w:val="ru-RU"/>
        </w:rPr>
        <w:t>геомеханика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 - 6</w:t>
      </w:r>
    </w:p>
    <w:p w:rsidR="00382AFD" w:rsidRPr="00F11AF1" w:rsidRDefault="00382AFD" w:rsidP="00382AFD">
      <w:pPr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 - Декарбонизация, Водородная промышленность и ВИЭ - 5</w:t>
      </w: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>РНТК является продолжателем традиций Российской нефтегазовой технической конференции (SPE), которая проводится ежегодно в октябре уже 15 лет и заслуженно является значимым событием для профессионалов нефтегазовой отрасли.</w:t>
      </w: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Дополнительно 13 октября 2022 будет организована экскурсия в научный центр ТМК в </w:t>
      </w:r>
      <w:proofErr w:type="spellStart"/>
      <w:r w:rsidRPr="00F11AF1">
        <w:rPr>
          <w:color w:val="000000"/>
          <w:sz w:val="26"/>
          <w:szCs w:val="26"/>
          <w:lang w:val="ru-RU"/>
        </w:rPr>
        <w:t>Сколково</w:t>
      </w:r>
      <w:proofErr w:type="spellEnd"/>
      <w:r w:rsidRPr="00F11AF1">
        <w:rPr>
          <w:color w:val="000000"/>
          <w:sz w:val="26"/>
          <w:szCs w:val="26"/>
          <w:lang w:val="ru-RU"/>
        </w:rPr>
        <w:t>. Центр оснащен современным оборудованием для разработки, цифрового моделирования и тестирования материалов, конструкций и технологий. Комплекс стендов для натурных физических испытаний труб, трубных соединений и иных сложных конструкций предназначен для проведения исследований с возможностью растяжения, сжатия, изгиба с приложением высокого наружного и внутреннего давления и созданием экстр</w:t>
      </w:r>
      <w:bookmarkStart w:id="0" w:name="_GoBack"/>
      <w:bookmarkEnd w:id="0"/>
      <w:r w:rsidRPr="00F11AF1">
        <w:rPr>
          <w:color w:val="000000"/>
          <w:sz w:val="26"/>
          <w:szCs w:val="26"/>
          <w:lang w:val="ru-RU"/>
        </w:rPr>
        <w:t xml:space="preserve">емальных температурных режимов. В НТЦ работает около 400 сотрудников. </w:t>
      </w: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>Организаторы приглашают присоединиться к сообществу ведущих специалистов на Российском нефтегазовом техническом конгрессе (РНТК 2022) для выработки и обсуждения идей, стратегий и мер по преодолению существующих проблем и будущих вызовов, для расширения сети своих контактов с лидерами, новаторами, мировыми экспертами отрасли.</w:t>
      </w: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</w:p>
    <w:p w:rsidR="00382AFD" w:rsidRPr="00F11AF1" w:rsidRDefault="00382AFD" w:rsidP="00382AFD">
      <w:pPr>
        <w:spacing w:after="120"/>
        <w:rPr>
          <w:color w:val="000000"/>
          <w:sz w:val="26"/>
          <w:szCs w:val="26"/>
          <w:lang w:val="ru-RU"/>
        </w:rPr>
      </w:pPr>
      <w:r w:rsidRPr="00F11AF1">
        <w:rPr>
          <w:color w:val="000000"/>
          <w:sz w:val="26"/>
          <w:szCs w:val="26"/>
          <w:lang w:val="ru-RU"/>
        </w:rPr>
        <w:t xml:space="preserve">Подробнее: по электронной почте </w:t>
      </w:r>
      <w:proofErr w:type="spellStart"/>
      <w:r w:rsidRPr="00F11AF1">
        <w:rPr>
          <w:color w:val="000000"/>
          <w:sz w:val="26"/>
          <w:szCs w:val="26"/>
          <w:lang w:val="ru-RU"/>
        </w:rPr>
        <w:t>info</w:t>
      </w:r>
      <w:proofErr w:type="spellEnd"/>
      <w:r w:rsidRPr="00F11AF1">
        <w:rPr>
          <w:color w:val="000000"/>
          <w:sz w:val="26"/>
          <w:szCs w:val="26"/>
          <w:lang w:val="ru-RU"/>
        </w:rPr>
        <w:t>@</w:t>
      </w:r>
      <w:proofErr w:type="spellStart"/>
      <w:r w:rsidRPr="00F11AF1">
        <w:rPr>
          <w:color w:val="000000"/>
          <w:sz w:val="26"/>
          <w:szCs w:val="26"/>
        </w:rPr>
        <w:t>rntk</w:t>
      </w:r>
      <w:proofErr w:type="spellEnd"/>
      <w:r w:rsidRPr="00F11AF1">
        <w:rPr>
          <w:color w:val="000000"/>
          <w:sz w:val="26"/>
          <w:szCs w:val="26"/>
          <w:lang w:val="ru-RU"/>
        </w:rPr>
        <w:t>.</w:t>
      </w:r>
      <w:proofErr w:type="spellStart"/>
      <w:r w:rsidRPr="00F11AF1">
        <w:rPr>
          <w:color w:val="000000"/>
          <w:sz w:val="26"/>
          <w:szCs w:val="26"/>
          <w:lang w:val="ru-RU"/>
        </w:rPr>
        <w:t>org</w:t>
      </w:r>
      <w:proofErr w:type="spellEnd"/>
      <w:r w:rsidRPr="00F11AF1">
        <w:rPr>
          <w:color w:val="000000"/>
          <w:sz w:val="26"/>
          <w:szCs w:val="26"/>
          <w:lang w:val="ru-RU"/>
        </w:rPr>
        <w:t xml:space="preserve">, по телефону +7 (495) 190-7216 и +7 (495) 488-6749, а также на веб-сайте </w:t>
      </w:r>
      <w:hyperlink r:id="rId11" w:history="1">
        <w:r w:rsidRPr="00F11AF1">
          <w:rPr>
            <w:rStyle w:val="aff3"/>
            <w:rFonts w:eastAsia="Arial"/>
            <w:sz w:val="26"/>
            <w:szCs w:val="26"/>
            <w:lang w:val="ru-RU"/>
          </w:rPr>
          <w:t>www.</w:t>
        </w:r>
        <w:r w:rsidRPr="00F11AF1">
          <w:rPr>
            <w:rStyle w:val="aff3"/>
            <w:rFonts w:eastAsia="Arial"/>
            <w:sz w:val="26"/>
            <w:szCs w:val="26"/>
          </w:rPr>
          <w:t>rntk</w:t>
        </w:r>
        <w:r w:rsidRPr="00F11AF1">
          <w:rPr>
            <w:rStyle w:val="aff3"/>
            <w:rFonts w:eastAsia="Arial"/>
            <w:sz w:val="26"/>
            <w:szCs w:val="26"/>
            <w:lang w:val="ru-RU"/>
          </w:rPr>
          <w:t>.org</w:t>
        </w:r>
      </w:hyperlink>
      <w:r w:rsidRPr="00F11AF1">
        <w:rPr>
          <w:sz w:val="26"/>
          <w:szCs w:val="26"/>
          <w:lang w:val="ru-RU"/>
        </w:rPr>
        <w:t xml:space="preserve"> </w:t>
      </w:r>
    </w:p>
    <w:p w:rsidR="00382AFD" w:rsidRPr="00F11AF1" w:rsidRDefault="00382AFD">
      <w:pPr>
        <w:spacing w:after="120" w:line="276" w:lineRule="auto"/>
        <w:jc w:val="both"/>
        <w:rPr>
          <w:b/>
          <w:color w:val="000000"/>
          <w:sz w:val="26"/>
          <w:szCs w:val="26"/>
          <w:lang w:val="ru-RU"/>
        </w:rPr>
      </w:pPr>
    </w:p>
    <w:p w:rsidR="00382AFD" w:rsidRPr="00382AFD" w:rsidRDefault="00382AFD">
      <w:pPr>
        <w:spacing w:after="120" w:line="276" w:lineRule="auto"/>
        <w:jc w:val="center"/>
        <w:rPr>
          <w:b/>
          <w:bCs/>
          <w:color w:val="000000"/>
          <w:lang w:val="ru-RU"/>
        </w:rPr>
      </w:pPr>
    </w:p>
    <w:p w:rsidR="00577169" w:rsidRDefault="00F11AF1">
      <w:pPr>
        <w:spacing w:after="120" w:line="276" w:lineRule="auto"/>
        <w:jc w:val="center"/>
        <w:rPr>
          <w:b/>
          <w:bCs/>
          <w:lang w:val="ru-RU"/>
        </w:rPr>
      </w:pPr>
      <w:r w:rsidRPr="00382AFD">
        <w:rPr>
          <w:b/>
          <w:bCs/>
          <w:color w:val="000000"/>
          <w:lang w:val="ru-RU"/>
        </w:rPr>
        <w:t>Российский</w:t>
      </w:r>
      <w:r>
        <w:rPr>
          <w:rFonts w:ascii="Segoe UI" w:hAnsi="Segoe UI" w:cs="Segoe UI"/>
          <w:b/>
          <w:bCs/>
          <w:color w:val="000000"/>
          <w:lang w:val="ru-RU"/>
        </w:rPr>
        <w:t xml:space="preserve"> нефтегазовый технический конгресс пройдет в Москве </w:t>
      </w:r>
    </w:p>
    <w:p w:rsidR="00577169" w:rsidRDefault="00577169">
      <w:pPr>
        <w:ind w:firstLine="720"/>
        <w:jc w:val="both"/>
        <w:rPr>
          <w:rFonts w:ascii="Segoe UI" w:hAnsi="Segoe UI" w:cs="Segoe UI"/>
          <w:color w:val="000000"/>
          <w:lang w:val="ru-RU"/>
        </w:rPr>
      </w:pP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11-13 октября 2022 года в отеле </w:t>
      </w:r>
      <w:proofErr w:type="spellStart"/>
      <w:r>
        <w:rPr>
          <w:rFonts w:ascii="Segoe UI" w:hAnsi="Segoe UI" w:cs="Segoe UI"/>
          <w:color w:val="000000"/>
          <w:lang w:val="ru-RU"/>
        </w:rPr>
        <w:t>Холидей</w:t>
      </w:r>
      <w:proofErr w:type="spellEnd"/>
      <w:r>
        <w:rPr>
          <w:rFonts w:ascii="Segoe UI" w:hAnsi="Segoe UI" w:cs="Segoe UI"/>
          <w:color w:val="000000"/>
          <w:lang w:val="ru-RU"/>
        </w:rPr>
        <w:t xml:space="preserve"> Инн Сокольники в Москве соберутся представители ведущих компаний, чтобы обсудить современные принципы и технологии в нефтегазовом комплексе РФ и мира. 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Российский нефтегазовый технический конгресс (РНТК) является про</w:t>
      </w:r>
      <w:r>
        <w:rPr>
          <w:rFonts w:ascii="Segoe UI" w:hAnsi="Segoe UI" w:cs="Segoe UI"/>
          <w:color w:val="000000"/>
          <w:lang w:val="ru-RU"/>
        </w:rPr>
        <w:t>должателем традиций Российской нефтегазовой технической конференции, которая проводится ежегодно Обществом инженеров нефтегазовой промышленности в октябре уже 12 лет и заслуженно является значимым событием для профессионалов нефтегазовой отрасли. В этом го</w:t>
      </w:r>
      <w:r>
        <w:rPr>
          <w:rFonts w:ascii="Segoe UI" w:hAnsi="Segoe UI" w:cs="Segoe UI"/>
          <w:color w:val="000000"/>
          <w:lang w:val="ru-RU"/>
        </w:rPr>
        <w:t>ду мероприятие проходит при поддержке Московской и Санкт-Петербургской секций Общества инженеров нефтегазовой промышленности Российской Федерации.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В программный комитет входит более 30 экспертов и руководители из компаний операторов, сервисных компаний так</w:t>
      </w:r>
      <w:r>
        <w:rPr>
          <w:rFonts w:ascii="Segoe UI" w:hAnsi="Segoe UI" w:cs="Segoe UI"/>
          <w:color w:val="000000"/>
          <w:lang w:val="ru-RU"/>
        </w:rPr>
        <w:t>их как: ПАО «НК Роснефть» ,ПАО «НОВАТЭК», «ЛУКОЙЛ», ПАО «Газпром нефть», ФАУ «ЗАПСИБНИИГГ»,  ФБУ «ГКЗ», «РН-</w:t>
      </w:r>
      <w:proofErr w:type="spellStart"/>
      <w:r>
        <w:rPr>
          <w:rFonts w:ascii="Segoe UI" w:hAnsi="Segoe UI" w:cs="Segoe UI"/>
          <w:color w:val="000000"/>
          <w:lang w:val="ru-RU"/>
        </w:rPr>
        <w:t>БашНИПИнефть</w:t>
      </w:r>
      <w:proofErr w:type="spellEnd"/>
      <w:r>
        <w:rPr>
          <w:rFonts w:ascii="Segoe UI" w:hAnsi="Segoe UI" w:cs="Segoe UI"/>
          <w:color w:val="000000"/>
          <w:lang w:val="ru-RU"/>
        </w:rPr>
        <w:t xml:space="preserve">», РГУ нефти и газа (НИУ) имени И.М. Губкина и др. Полный список программного комитета представлен на сайте конгресса </w:t>
      </w:r>
      <w:hyperlink r:id="rId12">
        <w:r>
          <w:rPr>
            <w:rFonts w:ascii="Segoe UI" w:hAnsi="Segoe UI" w:cs="Segoe UI"/>
          </w:rPr>
          <w:t>www</w:t>
        </w:r>
        <w:r>
          <w:rPr>
            <w:rFonts w:ascii="Segoe UI" w:hAnsi="Segoe UI" w:cs="Segoe UI"/>
            <w:lang w:val="ru-RU"/>
          </w:rPr>
          <w:t>.</w:t>
        </w:r>
        <w:proofErr w:type="spellStart"/>
        <w:r>
          <w:rPr>
            <w:rFonts w:ascii="Segoe UI" w:hAnsi="Segoe UI" w:cs="Segoe UI"/>
          </w:rPr>
          <w:t>rntk</w:t>
        </w:r>
        <w:proofErr w:type="spellEnd"/>
        <w:r>
          <w:rPr>
            <w:rFonts w:ascii="Segoe UI" w:hAnsi="Segoe UI" w:cs="Segoe UI"/>
            <w:lang w:val="ru-RU"/>
          </w:rPr>
          <w:t>.</w:t>
        </w:r>
        <w:r>
          <w:rPr>
            <w:rFonts w:ascii="Segoe UI" w:hAnsi="Segoe UI" w:cs="Segoe UI"/>
          </w:rPr>
          <w:t>org</w:t>
        </w:r>
      </w:hyperlink>
      <w:r>
        <w:rPr>
          <w:rFonts w:ascii="Segoe UI" w:hAnsi="Segoe UI" w:cs="Segoe UI"/>
          <w:color w:val="000000"/>
          <w:lang w:val="ru-RU"/>
        </w:rPr>
        <w:t xml:space="preserve"> 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В этом году в конгрессе примут участие более 250 делегатов, планируется организация нескольких пленарных сессий, более 100 докладов и 22 технических сессии. Значительная часть программы включает в себя темы, ставшие уже </w:t>
      </w:r>
      <w:r>
        <w:rPr>
          <w:rFonts w:ascii="Segoe UI" w:hAnsi="Segoe UI" w:cs="Segoe UI"/>
          <w:color w:val="000000"/>
          <w:lang w:val="ru-RU"/>
        </w:rPr>
        <w:t xml:space="preserve">традиционными: разработка месторождений, строительство скважин, МУН, интенсификация добычи, цифровые технологии, моделирование и др. Часть направлений конгресса 2022 года будет связана с новыми темами, относящимися к перспективам декарбонизации и развитию </w:t>
      </w:r>
      <w:r>
        <w:rPr>
          <w:rFonts w:ascii="Segoe UI" w:hAnsi="Segoe UI" w:cs="Segoe UI"/>
          <w:color w:val="000000"/>
          <w:lang w:val="ru-RU"/>
        </w:rPr>
        <w:t>альтернативной энергетики. Известные эксперты отрасли примут участие в работе пленарной сессии и круглых столов.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>Таким образом, ученые и инженеры, руководители и молодые специалисты, представители нефтегазодобывающих компаний, сервисных предприятий и научн</w:t>
      </w:r>
      <w:r>
        <w:rPr>
          <w:rFonts w:ascii="Segoe UI" w:hAnsi="Segoe UI" w:cs="Segoe UI"/>
          <w:color w:val="000000"/>
          <w:lang w:val="ru-RU"/>
        </w:rPr>
        <w:t xml:space="preserve">о-исследовательских институтов собираются вместе раз в год на площадках конференции для обмена опытом и достижениями, для дискуссий и дебатов, а также для долгожданных встреч с единомышленниками и друзьями. Разрабатывая техническую программу, мы учитываем </w:t>
      </w:r>
      <w:r>
        <w:rPr>
          <w:rFonts w:ascii="Segoe UI" w:hAnsi="Segoe UI" w:cs="Segoe UI"/>
          <w:color w:val="000000"/>
          <w:lang w:val="ru-RU"/>
        </w:rPr>
        <w:t>перспективные направления и новые технологии, ищем и привлекаем специалистов нефтегазовых профессий со всего мира, которые поделятся своими знаниями и опытом и поддержат высокий научный и технический уровень конференции.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В рамках конгресса также состоится </w:t>
      </w:r>
      <w:r>
        <w:rPr>
          <w:rFonts w:ascii="Segoe UI" w:hAnsi="Segoe UI" w:cs="Segoe UI"/>
          <w:color w:val="000000"/>
          <w:lang w:val="ru-RU"/>
        </w:rPr>
        <w:t>выставка, обеспечивая партнерам мероприятия возможности для встречи с новыми заказчиками, для представления информации о своей компании, продукции и услугах.</w:t>
      </w:r>
    </w:p>
    <w:p w:rsidR="00577169" w:rsidRDefault="00F11AF1">
      <w:pPr>
        <w:spacing w:after="120"/>
        <w:jc w:val="both"/>
        <w:rPr>
          <w:rFonts w:ascii="Segoe UI" w:hAnsi="Segoe UI" w:cs="Segoe UI"/>
          <w:color w:val="000000"/>
          <w:lang w:val="ru-RU"/>
        </w:rPr>
      </w:pPr>
      <w:r>
        <w:rPr>
          <w:rFonts w:ascii="Segoe UI" w:hAnsi="Segoe UI" w:cs="Segoe UI"/>
          <w:color w:val="000000"/>
          <w:lang w:val="ru-RU"/>
        </w:rPr>
        <w:t xml:space="preserve">За дополнительной информацией о конгрессе, пожалуйста, обращайтесь по электронной почте </w:t>
      </w:r>
      <w:proofErr w:type="spellStart"/>
      <w:r>
        <w:rPr>
          <w:rFonts w:ascii="Segoe UI" w:hAnsi="Segoe UI" w:cs="Segoe UI"/>
          <w:color w:val="000000"/>
          <w:lang w:val="ru-RU"/>
        </w:rPr>
        <w:t>info</w:t>
      </w:r>
      <w:proofErr w:type="spellEnd"/>
      <w:r>
        <w:rPr>
          <w:rFonts w:ascii="Segoe UI" w:hAnsi="Segoe UI" w:cs="Segoe UI"/>
          <w:color w:val="000000"/>
          <w:lang w:val="ru-RU"/>
        </w:rPr>
        <w:t>@</w:t>
      </w:r>
      <w:proofErr w:type="spellStart"/>
      <w:r>
        <w:rPr>
          <w:rFonts w:ascii="Segoe UI" w:hAnsi="Segoe UI" w:cs="Segoe UI"/>
          <w:color w:val="000000"/>
        </w:rPr>
        <w:t>rntk</w:t>
      </w:r>
      <w:proofErr w:type="spellEnd"/>
      <w:r>
        <w:rPr>
          <w:rFonts w:ascii="Segoe UI" w:hAnsi="Segoe UI" w:cs="Segoe UI"/>
          <w:color w:val="000000"/>
          <w:lang w:val="ru-RU"/>
        </w:rPr>
        <w:t>.</w:t>
      </w:r>
      <w:proofErr w:type="spellStart"/>
      <w:r>
        <w:rPr>
          <w:rFonts w:ascii="Segoe UI" w:hAnsi="Segoe UI" w:cs="Segoe UI"/>
          <w:color w:val="000000"/>
          <w:lang w:val="ru-RU"/>
        </w:rPr>
        <w:t>org</w:t>
      </w:r>
      <w:proofErr w:type="spellEnd"/>
      <w:r>
        <w:rPr>
          <w:rFonts w:ascii="Segoe UI" w:hAnsi="Segoe UI" w:cs="Segoe UI"/>
          <w:color w:val="000000"/>
          <w:lang w:val="ru-RU"/>
        </w:rPr>
        <w:t xml:space="preserve">, по телефону +7 (495) 190-7216 и +7 (495) 488-6749, а также на веб-сайт </w:t>
      </w:r>
      <w:hyperlink r:id="rId13">
        <w:r>
          <w:rPr>
            <w:rFonts w:ascii="Segoe UI" w:hAnsi="Segoe UI" w:cs="Segoe UI"/>
            <w:lang w:val="ru-RU"/>
          </w:rPr>
          <w:t>www.</w:t>
        </w:r>
        <w:r>
          <w:rPr>
            <w:rFonts w:ascii="Segoe UI" w:hAnsi="Segoe UI" w:cs="Segoe UI"/>
          </w:rPr>
          <w:t>rntk</w:t>
        </w:r>
        <w:r>
          <w:rPr>
            <w:rFonts w:ascii="Segoe UI" w:hAnsi="Segoe UI" w:cs="Segoe UI"/>
            <w:lang w:val="ru-RU"/>
          </w:rPr>
          <w:t>.</w:t>
        </w:r>
        <w:proofErr w:type="spellStart"/>
        <w:r>
          <w:rPr>
            <w:rFonts w:ascii="Segoe UI" w:hAnsi="Segoe UI" w:cs="Segoe UI"/>
            <w:lang w:val="ru-RU"/>
          </w:rPr>
          <w:t>org</w:t>
        </w:r>
        <w:proofErr w:type="spellEnd"/>
      </w:hyperlink>
      <w:hyperlink>
        <w:r>
          <w:rPr>
            <w:rFonts w:ascii="Segoe UI" w:hAnsi="Segoe UI" w:cs="Segoe UI"/>
            <w:lang w:val="ru-RU"/>
          </w:rPr>
          <w:t xml:space="preserve"> </w:t>
        </w:r>
      </w:hyperlink>
      <w:r>
        <w:rPr>
          <w:rFonts w:ascii="Segoe UI" w:hAnsi="Segoe UI" w:cs="Segoe UI"/>
          <w:color w:val="000000"/>
          <w:lang w:val="ru-RU"/>
        </w:rPr>
        <w:t xml:space="preserve"> </w:t>
      </w:r>
    </w:p>
    <w:sectPr w:rsidR="00577169">
      <w:headerReference w:type="default" r:id="rId14"/>
      <w:pgSz w:w="11906" w:h="16838"/>
      <w:pgMar w:top="567" w:right="1134" w:bottom="425" w:left="1134" w:header="28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1AF1">
      <w:r>
        <w:separator/>
      </w:r>
    </w:p>
  </w:endnote>
  <w:endnote w:type="continuationSeparator" w:id="0">
    <w:p w:rsidR="00000000" w:rsidRDefault="00F1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Myriad Pro Light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Heiti Std R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1AF1">
      <w:r>
        <w:separator/>
      </w:r>
    </w:p>
  </w:footnote>
  <w:footnote w:type="continuationSeparator" w:id="0">
    <w:p w:rsidR="00000000" w:rsidRDefault="00F1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169" w:rsidRDefault="00F11AF1">
    <w:pPr>
      <w:pStyle w:val="aa"/>
      <w:tabs>
        <w:tab w:val="left" w:pos="900"/>
      </w:tabs>
      <w:jc w:val="right"/>
      <w:rPr>
        <w:rFonts w:ascii="Myriad Pro" w:hAnsi="Myriad Pro" w:cs="Arial"/>
        <w:sz w:val="19"/>
        <w:szCs w:val="19"/>
        <w:lang w:val="ru-RU"/>
      </w:rPr>
    </w:pPr>
    <w:r>
      <w:rPr>
        <w:rFonts w:ascii="Myriad Pro" w:hAnsi="Myriad Pro" w:cs="Arial"/>
        <w:sz w:val="19"/>
        <w:szCs w:val="19"/>
        <w:lang w:val="ru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69"/>
    <w:rsid w:val="00382AFD"/>
    <w:rsid w:val="00577169"/>
    <w:rsid w:val="00F1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F79B"/>
  <w15:docId w15:val="{BCFC34D5-6DAF-48A0-AFDB-62C65200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af2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3">
    <w:name w:val="Посещённая гиперссылка"/>
    <w:rPr>
      <w:color w:val="800080"/>
      <w:u w:val="single"/>
    </w:rPr>
  </w:style>
  <w:style w:type="character" w:customStyle="1" w:styleId="af4">
    <w:name w:val="Текст Знак"/>
    <w:link w:val="af5"/>
    <w:uiPriority w:val="99"/>
    <w:qFormat/>
    <w:rPr>
      <w:rFonts w:ascii="Courier New" w:hAnsi="Courier New" w:cs="Courier New"/>
      <w:lang w:val="en-US" w:eastAsia="en-US" w:bidi="ar-SA"/>
    </w:rPr>
  </w:style>
  <w:style w:type="character" w:styleId="af6">
    <w:name w:val="Strong"/>
    <w:uiPriority w:val="22"/>
    <w:qFormat/>
    <w:rPr>
      <w:b/>
      <w:bCs/>
    </w:rPr>
  </w:style>
  <w:style w:type="character" w:customStyle="1" w:styleId="landing-block-node-linkcontact-text">
    <w:name w:val="landing-block-node-linkcontact-text"/>
    <w:basedOn w:val="a0"/>
    <w:qFormat/>
    <w:rsid w:val="00E31CF2"/>
  </w:style>
  <w:style w:type="character" w:customStyle="1" w:styleId="UnresolvedMention">
    <w:name w:val="Unresolved Mention"/>
    <w:basedOn w:val="a0"/>
    <w:uiPriority w:val="99"/>
    <w:semiHidden/>
    <w:unhideWhenUsed/>
    <w:qFormat/>
    <w:rsid w:val="00C5074D"/>
    <w:rPr>
      <w:color w:val="605E5C"/>
      <w:shd w:val="clear" w:color="auto" w:fill="E1DFDD"/>
    </w:rPr>
  </w:style>
  <w:style w:type="paragraph" w:customStyle="1" w:styleId="11">
    <w:name w:val="Заголовок1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20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a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"/>
    <w:link w:val="af0"/>
    <w:uiPriority w:val="99"/>
    <w:semiHidden/>
    <w:unhideWhenUsed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</w:style>
  <w:style w:type="paragraph" w:styleId="afc">
    <w:name w:val="table of figures"/>
    <w:basedOn w:val="a"/>
    <w:next w:val="a"/>
    <w:uiPriority w:val="99"/>
    <w:unhideWhenUsed/>
    <w:qFormat/>
  </w:style>
  <w:style w:type="paragraph" w:customStyle="1" w:styleId="afd">
    <w:name w:val="Колонтитул"/>
    <w:basedOn w:val="a"/>
    <w:qFormat/>
  </w:style>
  <w:style w:type="paragraph" w:styleId="aa">
    <w:name w:val="header"/>
    <w:basedOn w:val="a"/>
    <w:link w:val="a9"/>
    <w:pPr>
      <w:tabs>
        <w:tab w:val="center" w:pos="4844"/>
        <w:tab w:val="right" w:pos="9689"/>
      </w:tabs>
    </w:pPr>
  </w:style>
  <w:style w:type="paragraph" w:styleId="ac">
    <w:name w:val="footer"/>
    <w:basedOn w:val="a"/>
    <w:link w:val="ab"/>
    <w:pPr>
      <w:tabs>
        <w:tab w:val="center" w:pos="4844"/>
        <w:tab w:val="right" w:pos="9689"/>
      </w:tabs>
    </w:pPr>
  </w:style>
  <w:style w:type="paragraph" w:styleId="32">
    <w:name w:val="Body Text 3"/>
    <w:basedOn w:val="a"/>
    <w:qFormat/>
    <w:pPr>
      <w:spacing w:after="120"/>
      <w:jc w:val="both"/>
    </w:pPr>
    <w:rPr>
      <w:rFonts w:ascii="Verdana" w:eastAsia="Times" w:hAnsi="Verdana"/>
      <w:sz w:val="18"/>
      <w:szCs w:val="20"/>
      <w:lang w:val="ru-RU"/>
    </w:rPr>
  </w:style>
  <w:style w:type="paragraph" w:styleId="afe">
    <w:name w:val="Body Text Indent"/>
    <w:basedOn w:val="a"/>
    <w:pPr>
      <w:spacing w:after="120"/>
      <w:ind w:firstLine="600"/>
      <w:jc w:val="both"/>
    </w:pPr>
    <w:rPr>
      <w:rFonts w:ascii="Myriad Pro Light" w:hAnsi="Myriad Pro Light"/>
      <w:lang w:val="ru-RU" w:eastAsia="da-DK"/>
    </w:rPr>
  </w:style>
  <w:style w:type="paragraph" w:styleId="aff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5">
    <w:name w:val="Plain Text"/>
    <w:basedOn w:val="a"/>
    <w:link w:val="af4"/>
    <w:uiPriority w:val="99"/>
    <w:qFormat/>
    <w:rPr>
      <w:rFonts w:ascii="Courier New" w:hAnsi="Courier New" w:cs="Courier New"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ox-26a62e3b4c-ox-ffebd3faf9-default-style">
    <w:name w:val="ox-26a62e3b4c-ox-ffebd3faf9-default-style"/>
    <w:basedOn w:val="a"/>
    <w:qFormat/>
    <w:pPr>
      <w:spacing w:beforeAutospacing="1" w:afterAutospacing="1"/>
    </w:pPr>
    <w:rPr>
      <w:lang w:val="ru-RU" w:eastAsia="ru-RU"/>
    </w:rPr>
  </w:style>
  <w:style w:type="paragraph" w:styleId="aff1">
    <w:name w:val="Normal (Web)"/>
    <w:basedOn w:val="a"/>
    <w:uiPriority w:val="99"/>
    <w:unhideWhenUsed/>
    <w:qFormat/>
    <w:pPr>
      <w:spacing w:beforeAutospacing="1" w:afterAutospacing="1"/>
    </w:pPr>
    <w:rPr>
      <w:rFonts w:eastAsiaTheme="minorHAnsi"/>
    </w:rPr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1">
    <w:name w:val="Grid Table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1">
    <w:name w:val="List Table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Hyperlink"/>
    <w:basedOn w:val="a0"/>
    <w:uiPriority w:val="99"/>
    <w:semiHidden/>
    <w:unhideWhenUsed/>
    <w:rsid w:val="00382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nt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ntk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ntk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ntk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ntk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EE86CA4-9AFE-4D42-ADFE-CBC50C236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124 августа 2006 г</vt:lpstr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124 августа 2006 г</dc:title>
  <dc:subject/>
  <dc:creator>AA</dc:creator>
  <dc:description/>
  <cp:lastModifiedBy>Irina</cp:lastModifiedBy>
  <cp:revision>5</cp:revision>
  <dcterms:created xsi:type="dcterms:W3CDTF">2022-06-22T15:04:00Z</dcterms:created>
  <dcterms:modified xsi:type="dcterms:W3CDTF">2022-10-03T10:14:00Z</dcterms:modified>
  <dc:language>ru-RU</dc:language>
</cp:coreProperties>
</file>